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12"/>
    <w:p>
      <w:pPr>
        <w:pStyle w:val="Heading1"/>
      </w:pPr>
      <w:r>
        <w:t xml:space="preserve">Homiletics Analysis: Luke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12 is one of the most densely packed teaching chapters in the Gospel of Luke, presenting a sustained sequence of Jesus’s instruction on fear, possessions, readiness, and division. The chapter opens with Jesus addressing a vast crowd (v. 1) while primarily teaching His disciples, and the audience shifts at several points (v. 13, v. 22, v. 41), signaling that these teachings are addressed to those who are following Jesus or considering doing so. The chapter moves through seven distinct units: a warning against hypocrisy and the fear of man (vv. 1–12), a parable about a rich fool who hoards wealth (vv. 13–21), teaching on anxiety and trust in the Father’s provision (vv. 22–34), the parable of the watchful servants and faithful steward (vv. 35–48), the warning that Jesus brings not peace but division (vv. 49–53), a call to read the present moment with the same shrewdness used to read weather (vv. 54–59), and a closing note on settling accounts before judgment arrives. The thread binding these units together is not topical but diagnostic: Jesus is identifying the competing loyalties, hidden fears, and misplaced securities that prevent His followers from living as the kingdom people they are called to be. Possessions, fear of man, anxiety about material need, halfhearted readiness, and the inability to discern the gravity of the present moment are all symptoms of the same underlying condition — a heart that is not fully oriented toward God and His kingdom.</w:t>
      </w:r>
    </w:p>
    <w:p>
      <w:pPr>
        <w:pStyle w:val="BodyText"/>
      </w:pPr>
      <w:r>
        <w:rPr>
          <w:b/>
          <w:bCs/>
        </w:rPr>
        <w:t xml:space="preserve">This Text — Intent</w:t>
      </w:r>
    </w:p>
    <w:p>
      <w:pPr>
        <w:pStyle w:val="BodyText"/>
      </w:pPr>
      <w:r>
        <w:t xml:space="preserve">God’s intent through this chapter is to expose and displace the functional lords that govern the lives of those who claim to follow Jesus — specifically wealth, fear, and distraction — and to replace them with a wholehearted, alert, undivided orientation toward the kingdom. This is not instruction for its own sake. Jesus is not surveying topics; He is performing surgery. Every unit in this chapter is designed to dislodge something that has taken God’s place in the hearts of His hearers and to install kingdom realities in its place. The intended effect is a community of disciples whose hearts are free — free from the tyranny of possessions, free from the paralysis of fear, free from the fog of distraction — and therefore genuinely ready for the Son of Man, whenever He comes.</w:t>
      </w:r>
    </w:p>
    <w:p>
      <w:r>
        <w:pict>
          <v:rect style="width:0;height:1.5pt" o:hralign="center" o:hrstd="t" o:hr="t"/>
        </w:pict>
      </w:r>
    </w:p>
    <w:p>
      <w:pPr>
        <w:pStyle w:val="FirstParagraph"/>
      </w:pPr>
      <w:r>
        <w:rPr>
          <w:b/>
          <w:bCs/>
        </w:rPr>
        <w:t xml:space="preserve">Subject Sentence:</w:t>
      </w:r>
      <w:r>
        <w:t xml:space="preserve"> </w:t>
      </w:r>
      <w:r>
        <w:t xml:space="preserve">Jesus diagnoses and displaces the false lords — wealth, fear, and distraction — that compete with kingdom allegiance.</w:t>
      </w:r>
    </w:p>
    <w:p>
      <w:r>
        <w:pict>
          <v:rect style="width:0;height:1.5pt" o:hralign="center" o:hrstd="t" o:hr="t"/>
        </w:pict>
      </w:r>
    </w:p>
    <w:p>
      <w:pPr>
        <w:pStyle w:val="FirstParagraph"/>
      </w:pPr>
      <w:r>
        <w:rPr>
          <w:b/>
          <w:bCs/>
        </w:rPr>
        <w:t xml:space="preserve">Primary Claim:</w:t>
      </w:r>
      <w:r>
        <w:t xml:space="preserve"> </w:t>
      </w:r>
      <w:r>
        <w:t xml:space="preserve">God is confronting His disciples with the specific idols that make kingdom living impossible — the love of money, the fear of man, and the fog of distraction — and calling them into the freedom of a heart fully oriented toward Him. The question this chapter presses home is not</w:t>
      </w:r>
      <w:r>
        <w:t xml:space="preserve"> </w:t>
      </w:r>
      <w:r>
        <w:t xml:space="preserve">“are you a follower of Jesus?”</w:t>
      </w:r>
      <w:r>
        <w:t xml:space="preserve"> </w:t>
      </w:r>
      <w:r>
        <w:t xml:space="preserve">but</w:t>
      </w:r>
      <w:r>
        <w:t xml:space="preserve"> </w:t>
      </w:r>
      <w:r>
        <w:t xml:space="preserve">“what is actually lord of your life right now?”</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Rich Fool and the Prosperity Question (vv. 13–21)</w:t>
      </w:r>
    </w:p>
    <w:p>
      <w:pPr>
        <w:pStyle w:val="BodyText"/>
      </w:pPr>
      <w:r>
        <w:t xml:space="preserve">The most significant interpretive divergence in this chapter concerns the parable of the Rich Fool. Prosperity-theology readings treat this parable as narrowly condemning</w:t>
      </w:r>
      <w:r>
        <w:t xml:space="preserve"> </w:t>
      </w:r>
      <w:r>
        <w:rPr>
          <w:i/>
          <w:iCs/>
        </w:rPr>
        <w:t xml:space="preserve">hoarding</w:t>
      </w:r>
      <w:r>
        <w:t xml:space="preserve"> </w:t>
      </w:r>
      <w:r>
        <w:t xml:space="preserve">while leaving intact the pursuit of wealth as such — distinguishing the fool’s error as one of retention rather than acquisition. This reading requires importing a distinction the text does not make. Jesus’s verdict in verse 21 —</w:t>
      </w:r>
      <w:r>
        <w:t xml:space="preserve"> </w:t>
      </w:r>
      <w:r>
        <w:t xml:space="preserve">“So is the one who lays up treasure for himself and is not rich toward God”</w:t>
      </w:r>
      <w:r>
        <w:t xml:space="preserve"> </w:t>
      </w:r>
      <w:r>
        <w:t xml:space="preserve">— is not about the quantity retained but about the orientation of the heart. The man is condemned not merely for his storage strategy but for the complete absence of any upward reference in his entire internal monologue (vv. 17–19):</w:t>
      </w:r>
      <w:r>
        <w:t xml:space="preserve"> </w:t>
      </w:r>
      <w:r>
        <w:t xml:space="preserve">“my crops,”</w:t>
      </w:r>
      <w:r>
        <w:t xml:space="preserve"> </w:t>
      </w:r>
      <w:r>
        <w:t xml:space="preserve">“my barns,”</w:t>
      </w:r>
      <w:r>
        <w:t xml:space="preserve"> </w:t>
      </w:r>
      <w:r>
        <w:t xml:space="preserve">“my grain,”</w:t>
      </w:r>
      <w:r>
        <w:t xml:space="preserve"> </w:t>
      </w:r>
      <w:r>
        <w:t xml:space="preserve">“my goods,”</w:t>
      </w:r>
      <w:r>
        <w:t xml:space="preserve"> </w:t>
      </w:r>
      <w:r>
        <w:t xml:space="preserve">“my soul.”</w:t>
      </w:r>
      <w:r>
        <w:t xml:space="preserve"> </w:t>
      </w:r>
      <w:r>
        <w:t xml:space="preserve">God does not appear in his calculations at all until God interrupts them. The Dispensational tendency to locate the chapter’s wealth-teachings primarily within the Sermon on the Mount parallel (Matthew 6) and treat Luke 12 as addressing Jewish disciples in the kingdom-offer context is historically interesting but does not alter the passage’s ethical force for the church. The Reformed reading holds: the parable exposes wealth as a false security that makes a person rich toward themselves while poor toward God — a structural spiritual problem, not merely a behavioral one.</w:t>
      </w:r>
    </w:p>
    <w:p>
      <w:pPr>
        <w:pStyle w:val="BodyText"/>
      </w:pPr>
      <w:r>
        <w:rPr>
          <w:b/>
          <w:bCs/>
        </w:rPr>
        <w:t xml:space="preserve">The Anxiety Teaching and Arminian/Wesleyan Emphases (vv. 22–34)</w:t>
      </w:r>
    </w:p>
    <w:p>
      <w:pPr>
        <w:pStyle w:val="BodyText"/>
      </w:pPr>
      <w:r>
        <w:t xml:space="preserve">Wesleyan and Arminian interpreters tend to emphasize the active cooperation required in</w:t>
      </w:r>
      <w:r>
        <w:t xml:space="preserve"> </w:t>
      </w:r>
      <w:r>
        <w:t xml:space="preserve">“seek first the kingdom”</w:t>
      </w:r>
      <w:r>
        <w:t xml:space="preserve"> </w:t>
      </w:r>
      <w:r>
        <w:t xml:space="preserve">(paralleled in Matthew 6:33 and implicit in Luke 12:31) — treating the anxiety-passage as a call to disciplined spiritual discipline and active kingdom pursuit. This is a legitimate emphasis: the passage does issue commands (</w:t>
      </w:r>
      <w:r>
        <w:t xml:space="preserve">“do not be anxious,”</w:t>
      </w:r>
      <w:r>
        <w:t xml:space="preserve"> </w:t>
      </w:r>
      <w:r>
        <w:t xml:space="preserve">“seek His kingdom,”</w:t>
      </w:r>
      <w:r>
        <w:t xml:space="preserve"> </w:t>
      </w:r>
      <w:r>
        <w:t xml:space="preserve">“sell your possessions,”</w:t>
      </w:r>
      <w:r>
        <w:t xml:space="preserve"> </w:t>
      </w:r>
      <w:r>
        <w:t xml:space="preserve">“provide yourselves with purses”</w:t>
      </w:r>
      <w:r>
        <w:t xml:space="preserve">). But the motivational structure of the passage runs in the opposite direction from moralistic effort:</w:t>
      </w:r>
      <w:r>
        <w:t xml:space="preserve"> </w:t>
      </w:r>
      <w:r>
        <w:rPr>
          <w:i/>
          <w:iCs/>
        </w:rPr>
        <w:t xml:space="preserve">because</w:t>
      </w:r>
      <w:r>
        <w:t xml:space="preserve"> </w:t>
      </w:r>
      <w:r>
        <w:t xml:space="preserve">you are worth more than birds,</w:t>
      </w:r>
      <w:r>
        <w:t xml:space="preserve"> </w:t>
      </w:r>
      <w:r>
        <w:rPr>
          <w:i/>
          <w:iCs/>
        </w:rPr>
        <w:t xml:space="preserve">because</w:t>
      </w:r>
      <w:r>
        <w:t xml:space="preserve"> </w:t>
      </w:r>
      <w:r>
        <w:t xml:space="preserve">your Father knows,</w:t>
      </w:r>
      <w:r>
        <w:t xml:space="preserve"> </w:t>
      </w:r>
      <w:r>
        <w:rPr>
          <w:i/>
          <w:iCs/>
        </w:rPr>
        <w:t xml:space="preserve">because</w:t>
      </w:r>
      <w:r>
        <w:t xml:space="preserve"> </w:t>
      </w:r>
      <w:r>
        <w:t xml:space="preserve">it is the Father’s good pleasure to give you the kingdom (v. 32) —</w:t>
      </w:r>
      <w:r>
        <w:t xml:space="preserve"> </w:t>
      </w:r>
      <w:r>
        <w:rPr>
          <w:i/>
          <w:iCs/>
        </w:rPr>
        <w:t xml:space="preserve">therefore</w:t>
      </w:r>
      <w:r>
        <w:t xml:space="preserve"> </w:t>
      </w:r>
      <w:r>
        <w:t xml:space="preserve">do not be anxious. The indicative precedes the imperative throughout. A reading that centers the chapter’s anxiety-teaching on spiritual discipline without anchoring it in the prior grace of the Father’s provision inverts the passage’s logic and produces striving rather than rest. The Reformed reading preserves the commands while grounding them in the Father’s prior claim and prior gift.</w:t>
      </w:r>
    </w:p>
    <w:p>
      <w:pPr>
        <w:pStyle w:val="BodyText"/>
      </w:pPr>
      <w:r>
        <w:rPr>
          <w:b/>
          <w:bCs/>
        </w:rPr>
        <w:t xml:space="preserve">The Watchful Servants and Eternal Security (vv. 35–48)</w:t>
      </w:r>
    </w:p>
    <w:p>
      <w:pPr>
        <w:pStyle w:val="BodyText"/>
      </w:pPr>
      <w:r>
        <w:t xml:space="preserve">This section generates the most significant interpretive tension in the chapter. The warning about the servant who says</w:t>
      </w:r>
      <w:r>
        <w:t xml:space="preserve"> </w:t>
      </w:r>
      <w:r>
        <w:t xml:space="preserve">“my master is delayed”</w:t>
      </w:r>
      <w:r>
        <w:t xml:space="preserve"> </w:t>
      </w:r>
      <w:r>
        <w:t xml:space="preserve">(v. 45) and the graduated judgment of vv. 47–48 are read by Arminian interpreters as evidence that genuine disciples can fall away and face eschatological judgment. Lutheran interpreters tend to read vv. 47–48 as primarily a Law-function passage — exposing sin without resolving the gospel question. The Reformed reading acknowledges the genuine severity of these warnings without treating them as threats to the security of the elect. Two observations govern this reading: (1) The servant in vv. 45–48 is one who</w:t>
      </w:r>
      <w:r>
        <w:t xml:space="preserve"> </w:t>
      </w:r>
      <w:r>
        <w:rPr>
          <w:i/>
          <w:iCs/>
        </w:rPr>
        <w:t xml:space="preserve">knows</w:t>
      </w:r>
      <w:r>
        <w:t xml:space="preserve"> </w:t>
      </w:r>
      <w:r>
        <w:t xml:space="preserve">the master’s will but acts as though the master is absent — this is the portrait of a professing but not genuine disciple, not a regenerate believer who stumbles. (2) The graduated nature of judgment in vv. 47–48 serves to underscore the heightened accountability of those given much — a pastoral word to the apostles (and by extension to teachers and leaders) about the weight of their commission, not a general threat of salvation-loss. Peter’s question in v. 41 (</w:t>
      </w:r>
      <w:r>
        <w:t xml:space="preserve">“Lord, are you telling this parable for us or for everyone?”</w:t>
      </w:r>
      <w:r>
        <w:t xml:space="preserve">) invites this pastoral reading. The Reformed position neither softens the warning nor weaponizes it against assurance — it reads the warning as functioning to produce genuine readiness, not fearful uncertainty.</w:t>
      </w:r>
    </w:p>
    <w:p>
      <w:pPr>
        <w:pStyle w:val="BodyText"/>
      </w:pPr>
      <w:r>
        <w:rPr>
          <w:b/>
          <w:bCs/>
        </w:rPr>
        <w:t xml:space="preserve">The Division Saying (vv. 49–53)</w:t>
      </w:r>
    </w:p>
    <w:p>
      <w:pPr>
        <w:pStyle w:val="BodyText"/>
      </w:pPr>
      <w:r>
        <w:t xml:space="preserve">Some interpreters, particularly those within broadly Christus Victor frameworks, read the</w:t>
      </w:r>
      <w:r>
        <w:t xml:space="preserve"> </w:t>
      </w:r>
      <w:r>
        <w:t xml:space="preserve">“fire on earth”</w:t>
      </w:r>
      <w:r>
        <w:t xml:space="preserve"> </w:t>
      </w:r>
      <w:r>
        <w:t xml:space="preserve">(v. 49) as Jesus’s longing for the eschatological judgment that will purify creation — a cosmic reading. More common in evangelical and Baptist contexts is a social reading that treats the division-saying as addressing the family ruptures that follow conversion in honor-shame cultures (a legitimate application, well-grounded in the original cultural context). The Reformed reading holds both: the fire and the baptism (v. 50) refer to Jesus’s own passion and the judgment it inaugurates, and the divisions that follow His coming are the inevitable outworking of that cosmic event at the household level. Neither reading is wrong; the Reformed reading insists they not be separated.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6:19–34</w:t>
      </w:r>
      <w:r>
        <w:t xml:space="preserve"> </w:t>
      </w:r>
      <w:r>
        <w:t xml:space="preserve">— The Sermon on the Mount parallel provides the most direct canonical anchor for the anxiety and treasure teachings in vv. 22–34, establishing that Jesus taught this material as a consistent and central element of discipleship instruction, not as an occasional aside.</w:t>
      </w:r>
    </w:p>
    <w:p>
      <w:pPr>
        <w:numPr>
          <w:ilvl w:val="0"/>
          <w:numId w:val="1001"/>
        </w:numPr>
      </w:pPr>
      <w:r>
        <w:rPr>
          <w:b/>
          <w:bCs/>
        </w:rPr>
        <w:t xml:space="preserve">Deuteronomy 6:4–9 (the Shema)</w:t>
      </w:r>
      <w:r>
        <w:t xml:space="preserve"> </w:t>
      </w:r>
      <w:r>
        <w:t xml:space="preserve">—</w:t>
      </w:r>
      <w:r>
        <w:t xml:space="preserve"> </w:t>
      </w:r>
      <w:r>
        <w:t xml:space="preserve">“Love the LORD your God with all your heart, soul, and strength”</w:t>
      </w:r>
      <w:r>
        <w:t xml:space="preserve"> </w:t>
      </w:r>
      <w:r>
        <w:t xml:space="preserve">is the Old Testament root of the whole-hearted kingdom orientation Luke 12 demands. The divided heart Jesus addresses throughout this chapter is the precise failure the Shema was given to prevent.</w:t>
      </w:r>
    </w:p>
    <w:p>
      <w:pPr>
        <w:numPr>
          <w:ilvl w:val="0"/>
          <w:numId w:val="1001"/>
        </w:numPr>
      </w:pPr>
      <w:r>
        <w:rPr>
          <w:b/>
          <w:bCs/>
        </w:rPr>
        <w:t xml:space="preserve">Proverbs 23:4–5</w:t>
      </w:r>
      <w:r>
        <w:t xml:space="preserve"> </w:t>
      </w:r>
      <w:r>
        <w:t xml:space="preserve">—</w:t>
      </w:r>
      <w:r>
        <w:t xml:space="preserve"> </w:t>
      </w:r>
      <w:r>
        <w:t xml:space="preserve">“Do not toil to acquire wealth… When your eyes light on it, it is gone”</w:t>
      </w:r>
      <w:r>
        <w:t xml:space="preserve"> </w:t>
      </w:r>
      <w:r>
        <w:t xml:space="preserve">— the wisdom tradition’s witness that wealth is a fundamentally unstable security, directly supporting the Rich Fool’s parable and the treasure-anxiety teaching.</w:t>
      </w:r>
    </w:p>
    <w:p>
      <w:pPr>
        <w:numPr>
          <w:ilvl w:val="0"/>
          <w:numId w:val="1001"/>
        </w:numPr>
      </w:pPr>
      <w:r>
        <w:rPr>
          <w:b/>
          <w:bCs/>
        </w:rPr>
        <w:t xml:space="preserve">Hebrews 12:1–2</w:t>
      </w:r>
      <w:r>
        <w:t xml:space="preserve"> </w:t>
      </w:r>
      <w:r>
        <w:t xml:space="preserve">—</w:t>
      </w:r>
      <w:r>
        <w:t xml:space="preserve"> </w:t>
      </w:r>
      <w:r>
        <w:t xml:space="preserve">“Let us also lay aside every weight and sin which clings so closely, and let us run with endurance”</w:t>
      </w:r>
      <w:r>
        <w:t xml:space="preserve"> </w:t>
      </w:r>
      <w:r>
        <w:t xml:space="preserve">— canonically extends Luke 12’s call to undivided, undistracted readiness into the church’s present experience, grounding it in fixing one’s eyes on Jesus as the pioneer and perfecter of faith.</w:t>
      </w:r>
    </w:p>
    <w:p>
      <w:pPr>
        <w:numPr>
          <w:ilvl w:val="0"/>
          <w:numId w:val="1001"/>
        </w:numPr>
      </w:pPr>
      <w:r>
        <w:rPr>
          <w:b/>
          <w:bCs/>
        </w:rPr>
        <w:t xml:space="preserve">Revelation 3:1–6 (Sardis)</w:t>
      </w:r>
      <w:r>
        <w:t xml:space="preserve"> </w:t>
      </w:r>
      <w:r>
        <w:t xml:space="preserve">— The letter to Sardis (</w:t>
      </w:r>
      <w:r>
        <w:t xml:space="preserve">“you have the reputation of being alive, but you are dead… I have not found your works complete in the sight of my God”</w:t>
      </w:r>
      <w:r>
        <w:t xml:space="preserve">) canonically parallels the warning to the unfaithful servant of vv. 45–48 — the professing community that has lost genuine readiness and alertness is a recurring concern of Scripture’s final book as well as its Gospel narratives.</w:t>
      </w:r>
    </w:p>
    <w:p>
      <w:r>
        <w:pict>
          <v:rect style="width:0;height:1.5pt" o:hralign="center" o:hrstd="t" o:hr="t"/>
        </w:pict>
      </w:r>
    </w:p>
    <w:p>
      <w:pPr>
        <w:pStyle w:val="FirstParagraph"/>
      </w:pPr>
      <w:r>
        <w:rPr>
          <w:b/>
          <w:bCs/>
        </w:rPr>
        <w:t xml:space="preserve">Aim:</w:t>
      </w:r>
      <w:r>
        <w:t xml:space="preserve"> </w:t>
      </w:r>
      <w:r>
        <w:t xml:space="preserve">To expose the specific competing lords in the reader’s life — wealth, fear, and distraction — and to establish why only a heart freed by the Father’s prior grace and oriented entirely toward His kingdom is capable of the readiness Jesus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Setting: enormous crowd; Jesus addresses disciples first</w:t>
            </w:r>
          </w:p>
        </w:tc>
        <w:tc>
          <w:tcPr/>
          <w:p>
            <w:pPr>
              <w:pStyle w:val="Compact"/>
            </w:pPr>
            <w:r>
              <w:t xml:space="preserve">Audience management signals the teaching is primarily for followers, not merely curious observers</w:t>
            </w:r>
          </w:p>
        </w:tc>
      </w:tr>
      <w:tr>
        <w:tc>
          <w:tcPr/>
          <w:p>
            <w:pPr>
              <w:pStyle w:val="Compact"/>
            </w:pPr>
            <w:r>
              <w:t xml:space="preserve">1b</w:t>
            </w:r>
          </w:p>
        </w:tc>
        <w:tc>
          <w:tcPr/>
          <w:p>
            <w:pPr>
              <w:pStyle w:val="Compact"/>
            </w:pPr>
            <w:r>
              <w:t xml:space="preserve">Warning against the leaven of the Pharisees — hypocrisy</w:t>
            </w:r>
          </w:p>
        </w:tc>
        <w:tc>
          <w:tcPr/>
          <w:p>
            <w:pPr>
              <w:pStyle w:val="Compact"/>
            </w:pPr>
            <w:r>
              <w:t xml:space="preserve">“Leaven”</w:t>
            </w:r>
            <w:r>
              <w:t xml:space="preserve"> </w:t>
            </w:r>
            <w:r>
              <w:t xml:space="preserve">is a permeating, corrupting agent; hypocrisy is presented as systemic, not incidental</w:t>
            </w:r>
          </w:p>
        </w:tc>
      </w:tr>
      <w:tr>
        <w:tc>
          <w:tcPr/>
          <w:p>
            <w:pPr>
              <w:pStyle w:val="Compact"/>
            </w:pPr>
            <w:r>
              <w:t xml:space="preserve">2–3</w:t>
            </w:r>
          </w:p>
        </w:tc>
        <w:tc>
          <w:tcPr/>
          <w:p>
            <w:pPr>
              <w:pStyle w:val="Compact"/>
            </w:pPr>
            <w:r>
              <w:t xml:space="preserve">Everything hidden will be revealed; what is whispered will be proclaimed</w:t>
            </w:r>
          </w:p>
        </w:tc>
        <w:tc>
          <w:tcPr/>
          <w:p>
            <w:pPr>
              <w:pStyle w:val="Compact"/>
            </w:pPr>
            <w:r>
              <w:t xml:space="preserve">Grounds the anti-hypocrisy warning in eschatological disclosure — ultimate transparency is coming</w:t>
            </w:r>
          </w:p>
        </w:tc>
      </w:tr>
      <w:tr>
        <w:tc>
          <w:tcPr/>
          <w:p>
            <w:pPr>
              <w:pStyle w:val="Compact"/>
            </w:pPr>
            <w:r>
              <w:t xml:space="preserve">4–5</w:t>
            </w:r>
          </w:p>
        </w:tc>
        <w:tc>
          <w:tcPr/>
          <w:p>
            <w:pPr>
              <w:pStyle w:val="Compact"/>
            </w:pPr>
            <w:r>
              <w:t xml:space="preserve">Do not fear those who kill the body; fear the one who has authority to cast into hell</w:t>
            </w:r>
          </w:p>
        </w:tc>
        <w:tc>
          <w:tcPr/>
          <w:p>
            <w:pPr>
              <w:pStyle w:val="Compact"/>
            </w:pPr>
            <w:r>
              <w:t xml:space="preserve">The fear of God is not opposed to peace — it displaces the fear of man; proper fear is liberating, not paralyzing</w:t>
            </w:r>
          </w:p>
        </w:tc>
      </w:tr>
      <w:tr>
        <w:tc>
          <w:tcPr/>
          <w:p>
            <w:pPr>
              <w:pStyle w:val="Compact"/>
            </w:pPr>
            <w:r>
              <w:t xml:space="preserve">6–7</w:t>
            </w:r>
          </w:p>
        </w:tc>
        <w:tc>
          <w:tcPr/>
          <w:p>
            <w:pPr>
              <w:pStyle w:val="Compact"/>
            </w:pPr>
            <w:r>
              <w:t xml:space="preserve">Not one sparrow is forgotten by God; you are worth more than many sparrows</w:t>
            </w:r>
          </w:p>
        </w:tc>
        <w:tc>
          <w:tcPr/>
          <w:p>
            <w:pPr>
              <w:pStyle w:val="Compact"/>
            </w:pPr>
            <w:r>
              <w:t xml:space="preserve">Theological grounding for fearlessness: the Father’s comprehensive, particular knowledge</w:t>
            </w:r>
          </w:p>
        </w:tc>
      </w:tr>
      <w:tr>
        <w:tc>
          <w:tcPr/>
          <w:p>
            <w:pPr>
              <w:pStyle w:val="Compact"/>
            </w:pPr>
            <w:r>
              <w:t xml:space="preserve">8–9</w:t>
            </w:r>
          </w:p>
        </w:tc>
        <w:tc>
          <w:tcPr/>
          <w:p>
            <w:pPr>
              <w:pStyle w:val="Compact"/>
            </w:pPr>
            <w:r>
              <w:t xml:space="preserve">Whoever acknowledges Jesus before men, the Son of Man will acknowledge; whoever denies, will be denied</w:t>
            </w:r>
          </w:p>
        </w:tc>
        <w:tc>
          <w:tcPr/>
          <w:p>
            <w:pPr>
              <w:pStyle w:val="Compact"/>
            </w:pPr>
            <w:r>
              <w:t xml:space="preserve">Confession under pressure is not heroism — it is the natural fruit of proper fear and proper confidence</w:t>
            </w:r>
          </w:p>
        </w:tc>
      </w:tr>
      <w:tr>
        <w:tc>
          <w:tcPr/>
          <w:p>
            <w:pPr>
              <w:pStyle w:val="Compact"/>
            </w:pPr>
            <w:r>
              <w:t xml:space="preserve">10</w:t>
            </w:r>
          </w:p>
        </w:tc>
        <w:tc>
          <w:tcPr/>
          <w:p>
            <w:pPr>
              <w:pStyle w:val="Compact"/>
            </w:pPr>
            <w:r>
              <w:t xml:space="preserve">Blasphemy against the Holy Spirit will not be forgiven</w:t>
            </w:r>
          </w:p>
        </w:tc>
        <w:tc>
          <w:tcPr/>
          <w:p>
            <w:pPr>
              <w:pStyle w:val="Compact"/>
            </w:pPr>
            <w:r>
              <w:t xml:space="preserve">Interpretively weighty verse; the unforgivable sin is the definitive, final rejection of the Spirit’s testimony to Christ</w:t>
            </w:r>
          </w:p>
        </w:tc>
      </w:tr>
      <w:tr>
        <w:tc>
          <w:tcPr/>
          <w:p>
            <w:pPr>
              <w:pStyle w:val="Compact"/>
            </w:pPr>
            <w:r>
              <w:t xml:space="preserve">11–12</w:t>
            </w:r>
          </w:p>
        </w:tc>
        <w:tc>
          <w:tcPr/>
          <w:p>
            <w:pPr>
              <w:pStyle w:val="Compact"/>
            </w:pPr>
            <w:r>
              <w:t xml:space="preserve">When brought before authorities, do not be anxious; the Spirit will teach what to say</w:t>
            </w:r>
          </w:p>
        </w:tc>
        <w:tc>
          <w:tcPr/>
          <w:p>
            <w:pPr>
              <w:pStyle w:val="Compact"/>
            </w:pPr>
            <w:r>
              <w:t xml:space="preserve">Immediately applies the fearlessness teaching to the disciples’ specific situation of anticipated persecution</w:t>
            </w:r>
          </w:p>
        </w:tc>
      </w:tr>
      <w:tr>
        <w:tc>
          <w:tcPr/>
          <w:p>
            <w:pPr>
              <w:pStyle w:val="Compact"/>
            </w:pPr>
            <w:r>
              <w:t xml:space="preserve">13–14</w:t>
            </w:r>
          </w:p>
        </w:tc>
        <w:tc>
          <w:tcPr/>
          <w:p>
            <w:pPr>
              <w:pStyle w:val="Compact"/>
            </w:pPr>
            <w:r>
              <w:t xml:space="preserve">A man asks Jesus to settle an inheritance dispute; Jesus refuses and warns against covetousness</w:t>
            </w:r>
          </w:p>
        </w:tc>
        <w:tc>
          <w:tcPr/>
          <w:p>
            <w:pPr>
              <w:pStyle w:val="Compact"/>
            </w:pPr>
            <w:r>
              <w:t xml:space="preserve">Jesus’s refusal is itself significant — He will not be conscripted into managing earthly possessions, even justly</w:t>
            </w:r>
          </w:p>
        </w:tc>
      </w:tr>
      <w:tr>
        <w:tc>
          <w:tcPr/>
          <w:p>
            <w:pPr>
              <w:pStyle w:val="Compact"/>
            </w:pPr>
            <w:r>
              <w:t xml:space="preserve">15</w:t>
            </w:r>
          </w:p>
        </w:tc>
        <w:tc>
          <w:tcPr/>
          <w:p>
            <w:pPr>
              <w:pStyle w:val="Compact"/>
            </w:pPr>
            <w:r>
              <w:t xml:space="preserve">“Be on your guard against all covetousness; life does not consist in the abundance of possessions”</w:t>
            </w:r>
          </w:p>
        </w:tc>
        <w:tc>
          <w:tcPr/>
          <w:p>
            <w:pPr>
              <w:pStyle w:val="Compact"/>
            </w:pPr>
            <w:r>
              <w:t xml:space="preserve">This verse is the interpretive key to the parable that follows — covetousness, not merely hoarding</w:t>
            </w:r>
          </w:p>
        </w:tc>
      </w:tr>
      <w:tr>
        <w:tc>
          <w:tcPr/>
          <w:p>
            <w:pPr>
              <w:pStyle w:val="Compact"/>
            </w:pPr>
            <w:r>
              <w:t xml:space="preserve">16–19</w:t>
            </w:r>
          </w:p>
        </w:tc>
        <w:tc>
          <w:tcPr/>
          <w:p>
            <w:pPr>
              <w:pStyle w:val="Compact"/>
            </w:pPr>
            <w:r>
              <w:t xml:space="preserve">The Rich Fool’s inner monologue: crops, barns, goods, soul — all</w:t>
            </w:r>
            <w:r>
              <w:t xml:space="preserve"> </w:t>
            </w:r>
            <w:r>
              <w:t xml:space="preserve">“my”</w:t>
            </w:r>
          </w:p>
        </w:tc>
        <w:tc>
          <w:tcPr/>
          <w:p>
            <w:pPr>
              <w:pStyle w:val="Compact"/>
            </w:pPr>
            <w:r>
              <w:t xml:space="preserve">The absence of any reference to God or others is the diagnostic detail; self-referential security is the fool’s defining condition</w:t>
            </w:r>
          </w:p>
        </w:tc>
      </w:tr>
      <w:tr>
        <w:tc>
          <w:tcPr/>
          <w:p>
            <w:pPr>
              <w:pStyle w:val="Compact"/>
            </w:pPr>
            <w:r>
              <w:t xml:space="preserve">20</w:t>
            </w:r>
          </w:p>
        </w:tc>
        <w:tc>
          <w:tcPr/>
          <w:p>
            <w:pPr>
              <w:pStyle w:val="Compact"/>
            </w:pPr>
            <w:r>
              <w:t xml:space="preserve">“Fool! This night your soul is required of you”</w:t>
            </w:r>
          </w:p>
        </w:tc>
        <w:tc>
          <w:tcPr/>
          <w:p>
            <w:pPr>
              <w:pStyle w:val="Compact"/>
            </w:pPr>
            <w:r>
              <w:t xml:space="preserve">God interrupts not with an argument but with a death — the ultimate non-negotiation</w:t>
            </w:r>
          </w:p>
        </w:tc>
      </w:tr>
      <w:tr>
        <w:tc>
          <w:tcPr/>
          <w:p>
            <w:pPr>
              <w:pStyle w:val="Compact"/>
            </w:pPr>
            <w:r>
              <w:t xml:space="preserve">21</w:t>
            </w:r>
          </w:p>
        </w:tc>
        <w:tc>
          <w:tcPr/>
          <w:p>
            <w:pPr>
              <w:pStyle w:val="Compact"/>
            </w:pPr>
            <w:r>
              <w:t xml:space="preserve">“So is the one who lays up treasure for himself and is not rich toward God”</w:t>
            </w:r>
          </w:p>
        </w:tc>
        <w:tc>
          <w:tcPr/>
          <w:p>
            <w:pPr>
              <w:pStyle w:val="Compact"/>
            </w:pPr>
            <w:r>
              <w:t xml:space="preserve">“Rich toward God”</w:t>
            </w:r>
            <w:r>
              <w:t xml:space="preserve"> </w:t>
            </w:r>
            <w:r>
              <w:t xml:space="preserve">is the positive counter-concept — never elaborated here, but crucial</w:t>
            </w:r>
          </w:p>
        </w:tc>
      </w:tr>
      <w:tr>
        <w:tc>
          <w:tcPr/>
          <w:p>
            <w:pPr>
              <w:pStyle w:val="Compact"/>
            </w:pPr>
            <w:r>
              <w:t xml:space="preserve">22–23</w:t>
            </w:r>
          </w:p>
        </w:tc>
        <w:tc>
          <w:tcPr/>
          <w:p>
            <w:pPr>
              <w:pStyle w:val="Compact"/>
            </w:pPr>
            <w:r>
              <w:t xml:space="preserve">“Do not be anxious about your life, food, or clothing; life is more than food, the body more than clothing”</w:t>
            </w:r>
          </w:p>
        </w:tc>
        <w:tc>
          <w:tcPr/>
          <w:p>
            <w:pPr>
              <w:pStyle w:val="Compact"/>
            </w:pPr>
            <w:r>
              <w:t xml:space="preserve">The transition from possessions (vv. 13–21) to anxiety (vv. 22–34) is seamless — both are symptoms of misplaced trust</w:t>
            </w:r>
          </w:p>
        </w:tc>
      </w:tr>
      <w:tr>
        <w:tc>
          <w:tcPr/>
          <w:p>
            <w:pPr>
              <w:pStyle w:val="Compact"/>
            </w:pPr>
            <w:r>
              <w:t xml:space="preserve">24</w:t>
            </w:r>
          </w:p>
        </w:tc>
        <w:tc>
          <w:tcPr/>
          <w:p>
            <w:pPr>
              <w:pStyle w:val="Compact"/>
            </w:pPr>
            <w:r>
              <w:t xml:space="preserve">Ravens neither sow nor reap; God feeds them; you are of more value than birds</w:t>
            </w:r>
          </w:p>
        </w:tc>
        <w:tc>
          <w:tcPr/>
          <w:p>
            <w:pPr>
              <w:pStyle w:val="Compact"/>
            </w:pPr>
            <w:r>
              <w:t xml:space="preserve">Argument from lesser to greater; God’s ordinary providential care is the evidence base</w:t>
            </w:r>
          </w:p>
        </w:tc>
      </w:tr>
      <w:tr>
        <w:tc>
          <w:tcPr/>
          <w:p>
            <w:pPr>
              <w:pStyle w:val="Compact"/>
            </w:pPr>
            <w:r>
              <w:t xml:space="preserve">25–26</w:t>
            </w:r>
          </w:p>
        </w:tc>
        <w:tc>
          <w:tcPr/>
          <w:p>
            <w:pPr>
              <w:pStyle w:val="Compact"/>
            </w:pPr>
            <w:r>
              <w:t xml:space="preserve">Anxiety cannot add an hour to your lifespan; if you cannot do this small thing, why be anxious about the rest?</w:t>
            </w:r>
          </w:p>
        </w:tc>
        <w:tc>
          <w:tcPr/>
          <w:p>
            <w:pPr>
              <w:pStyle w:val="Compact"/>
            </w:pPr>
            <w:r>
              <w:t xml:space="preserve">Anxiety is not merely sinful — it is futile; it accomplishes nothing it claims to address</w:t>
            </w:r>
          </w:p>
        </w:tc>
      </w:tr>
      <w:tr>
        <w:tc>
          <w:tcPr/>
          <w:p>
            <w:pPr>
              <w:pStyle w:val="Compact"/>
            </w:pPr>
            <w:r>
              <w:t xml:space="preserve">27–28</w:t>
            </w:r>
          </w:p>
        </w:tc>
        <w:tc>
          <w:tcPr/>
          <w:p>
            <w:pPr>
              <w:pStyle w:val="Compact"/>
            </w:pPr>
            <w:r>
              <w:t xml:space="preserve">Consider the lilies; Solomon’s glory does not compare; if God clothes grass, how much more will He clothe you?</w:t>
            </w:r>
          </w:p>
        </w:tc>
        <w:tc>
          <w:tcPr/>
          <w:p>
            <w:pPr>
              <w:pStyle w:val="Compact"/>
            </w:pPr>
            <w:r>
              <w:t xml:space="preserve">“O you of little faith”</w:t>
            </w:r>
            <w:r>
              <w:t xml:space="preserve"> </w:t>
            </w:r>
            <w:r>
              <w:t xml:space="preserve">— the indictment is not failure of effort but failure of trust</w:t>
            </w:r>
          </w:p>
        </w:tc>
      </w:tr>
      <w:tr>
        <w:tc>
          <w:tcPr/>
          <w:p>
            <w:pPr>
              <w:pStyle w:val="Compact"/>
            </w:pPr>
            <w:r>
              <w:t xml:space="preserve">29–30</w:t>
            </w:r>
          </w:p>
        </w:tc>
        <w:tc>
          <w:tcPr/>
          <w:p>
            <w:pPr>
              <w:pStyle w:val="Compact"/>
            </w:pPr>
            <w:r>
              <w:t xml:space="preserve">Do not seek what you will eat or drink; do not be worried; the nations of the world seek these things; your Father knows you need them</w:t>
            </w:r>
          </w:p>
        </w:tc>
        <w:tc>
          <w:tcPr/>
          <w:p>
            <w:pPr>
              <w:pStyle w:val="Compact"/>
            </w:pPr>
            <w:r>
              <w:t xml:space="preserve">The Gentiles seek these things — to live anxiously over material provision is to live as those who do not know the Father</w:t>
            </w:r>
          </w:p>
        </w:tc>
      </w:tr>
      <w:tr>
        <w:tc>
          <w:tcPr/>
          <w:p>
            <w:pPr>
              <w:pStyle w:val="Compact"/>
            </w:pPr>
            <w:r>
              <w:t xml:space="preserve">31</w:t>
            </w:r>
          </w:p>
        </w:tc>
        <w:tc>
          <w:tcPr/>
          <w:p>
            <w:pPr>
              <w:pStyle w:val="Compact"/>
            </w:pPr>
            <w:r>
              <w:t xml:space="preserve">“Instead, seek His kingdom, and these things will be added to you”</w:t>
            </w:r>
          </w:p>
        </w:tc>
        <w:tc>
          <w:tcPr/>
          <w:p>
            <w:pPr>
              <w:pStyle w:val="Compact"/>
            </w:pPr>
            <w:r>
              <w:t xml:space="preserve">The singular counter-command to anxiety: kingdom-seeking.</w:t>
            </w:r>
            <w:r>
              <w:t xml:space="preserve"> </w:t>
            </w:r>
            <w:r>
              <w:t xml:space="preserve">“Added”</w:t>
            </w:r>
            <w:r>
              <w:t xml:space="preserve"> </w:t>
            </w:r>
            <w:r>
              <w:t xml:space="preserve">implies they are secondary, not primary</w:t>
            </w:r>
          </w:p>
        </w:tc>
      </w:tr>
      <w:tr>
        <w:tc>
          <w:tcPr/>
          <w:p>
            <w:pPr>
              <w:pStyle w:val="Compact"/>
            </w:pPr>
            <w:r>
              <w:t xml:space="preserve">32</w:t>
            </w:r>
          </w:p>
        </w:tc>
        <w:tc>
          <w:tcPr/>
          <w:p>
            <w:pPr>
              <w:pStyle w:val="Compact"/>
            </w:pPr>
            <w:r>
              <w:t xml:space="preserve">“Fear not, little flock; it is your Father’s good pleasure to give you the kingdom”</w:t>
            </w:r>
          </w:p>
        </w:tc>
        <w:tc>
          <w:tcPr/>
          <w:p>
            <w:pPr>
              <w:pStyle w:val="Compact"/>
            </w:pPr>
            <w:r>
              <w:t xml:space="preserve">Arguably the emotional center of the entire chapter — the Father’s posture toward His people is</w:t>
            </w:r>
            <w:r>
              <w:t xml:space="preserve"> </w:t>
            </w:r>
            <w:r>
              <w:rPr>
                <w:i/>
                <w:iCs/>
              </w:rPr>
              <w:t xml:space="preserve">pleasure</w:t>
            </w:r>
            <w:r>
              <w:t xml:space="preserve">, not reluctance</w:t>
            </w:r>
          </w:p>
        </w:tc>
      </w:tr>
      <w:tr>
        <w:tc>
          <w:tcPr/>
          <w:p>
            <w:pPr>
              <w:pStyle w:val="Compact"/>
            </w:pPr>
            <w:r>
              <w:t xml:space="preserve">33–34</w:t>
            </w:r>
          </w:p>
        </w:tc>
        <w:tc>
          <w:tcPr/>
          <w:p>
            <w:pPr>
              <w:pStyle w:val="Compact"/>
            </w:pPr>
            <w:r>
              <w:t xml:space="preserve">Sell your possessions, give to the poor; provide purses that do not wear out; treasure in heaven; heart follows treasure</w:t>
            </w:r>
          </w:p>
        </w:tc>
        <w:tc>
          <w:tcPr/>
          <w:p>
            <w:pPr>
              <w:pStyle w:val="Compact"/>
            </w:pPr>
            <w:r>
              <w:t xml:space="preserve">Verse 34 is the diagnostic key: the treasure-location reveals the heart-location, not the reverse</w:t>
            </w:r>
          </w:p>
        </w:tc>
      </w:tr>
      <w:tr>
        <w:tc>
          <w:tcPr/>
          <w:p>
            <w:pPr>
              <w:pStyle w:val="Compact"/>
            </w:pPr>
            <w:r>
              <w:t xml:space="preserve">35–36</w:t>
            </w:r>
          </w:p>
        </w:tc>
        <w:tc>
          <w:tcPr/>
          <w:p>
            <w:pPr>
              <w:pStyle w:val="Compact"/>
            </w:pPr>
            <w:r>
              <w:t xml:space="preserve">“Stay dressed for action and keep your lamps burning; be like men waiting for their master”</w:t>
            </w:r>
          </w:p>
        </w:tc>
        <w:tc>
          <w:tcPr/>
          <w:p>
            <w:pPr>
              <w:pStyle w:val="Compact"/>
            </w:pPr>
            <w:r>
              <w:t xml:space="preserve">The readiness metaphors are domestic and immediately vivid — this is a lifestyle posture, not a crisis response</w:t>
            </w:r>
          </w:p>
        </w:tc>
      </w:tr>
      <w:tr>
        <w:tc>
          <w:tcPr/>
          <w:p>
            <w:pPr>
              <w:pStyle w:val="Compact"/>
            </w:pPr>
            <w:r>
              <w:t xml:space="preserve">37–38</w:t>
            </w:r>
          </w:p>
        </w:tc>
        <w:tc>
          <w:tcPr/>
          <w:p>
            <w:pPr>
              <w:pStyle w:val="Compact"/>
            </w:pPr>
            <w:r>
              <w:t xml:space="preserve">“Blessed are those servants the master finds awake when he comes; he will serve them”</w:t>
            </w:r>
          </w:p>
        </w:tc>
        <w:tc>
          <w:tcPr/>
          <w:p>
            <w:pPr>
              <w:pStyle w:val="Compact"/>
            </w:pPr>
            <w:r>
              <w:t xml:space="preserve">The reversal is stunning — the returning master serves his watching servants; reward for readiness is intimacy, not merely relief</w:t>
            </w:r>
          </w:p>
        </w:tc>
      </w:tr>
      <w:tr>
        <w:tc>
          <w:tcPr/>
          <w:p>
            <w:pPr>
              <w:pStyle w:val="Compact"/>
            </w:pPr>
            <w:r>
              <w:t xml:space="preserve">39–40</w:t>
            </w:r>
          </w:p>
        </w:tc>
        <w:tc>
          <w:tcPr/>
          <w:p>
            <w:pPr>
              <w:pStyle w:val="Compact"/>
            </w:pPr>
            <w:r>
              <w:t xml:space="preserve">If the homeowner had known when the thief was coming, he would not have let his house be broken into; be ready</w:t>
            </w:r>
          </w:p>
        </w:tc>
        <w:tc>
          <w:tcPr/>
          <w:p>
            <w:pPr>
              <w:pStyle w:val="Compact"/>
            </w:pPr>
            <w:r>
              <w:t xml:space="preserve">Parable shifts to negative illustration — unpreparedness is not neutral, it is loss</w:t>
            </w:r>
          </w:p>
        </w:tc>
      </w:tr>
      <w:tr>
        <w:tc>
          <w:tcPr/>
          <w:p>
            <w:pPr>
              <w:pStyle w:val="Compact"/>
            </w:pPr>
            <w:r>
              <w:t xml:space="preserve">41</w:t>
            </w:r>
          </w:p>
        </w:tc>
        <w:tc>
          <w:tcPr/>
          <w:p>
            <w:pPr>
              <w:pStyle w:val="Compact"/>
            </w:pPr>
            <w:r>
              <w:t xml:space="preserve">Peter asks:</w:t>
            </w:r>
            <w:r>
              <w:t xml:space="preserve"> </w:t>
            </w:r>
            <w:r>
              <w:t xml:space="preserve">“Lord, are you telling this parable for us or for everyone?”</w:t>
            </w:r>
          </w:p>
        </w:tc>
        <w:tc>
          <w:tcPr/>
          <w:p>
            <w:pPr>
              <w:pStyle w:val="Compact"/>
            </w:pPr>
            <w:r>
              <w:t xml:space="preserve">Peter’s question is the hermeneutical hinge of the chapter’s second half; Jesus’s response addresses leaders specifically</w:t>
            </w:r>
          </w:p>
        </w:tc>
      </w:tr>
      <w:tr>
        <w:tc>
          <w:tcPr/>
          <w:p>
            <w:pPr>
              <w:pStyle w:val="Compact"/>
            </w:pPr>
            <w:r>
              <w:t xml:space="preserve">42–44</w:t>
            </w:r>
          </w:p>
        </w:tc>
        <w:tc>
          <w:tcPr/>
          <w:p>
            <w:pPr>
              <w:pStyle w:val="Compact"/>
            </w:pPr>
            <w:r>
              <w:t xml:space="preserve">The faithful and wise manager: found doing his duty when the master comes; will be set over all his possessions</w:t>
            </w:r>
          </w:p>
        </w:tc>
        <w:tc>
          <w:tcPr/>
          <w:p>
            <w:pPr>
              <w:pStyle w:val="Compact"/>
            </w:pPr>
            <w:r>
              <w:t xml:space="preserve">The reward for faithful readiness is expanded trust and responsibility</w:t>
            </w:r>
          </w:p>
        </w:tc>
      </w:tr>
      <w:tr>
        <w:tc>
          <w:tcPr/>
          <w:p>
            <w:pPr>
              <w:pStyle w:val="Compact"/>
            </w:pPr>
            <w:r>
              <w:t xml:space="preserve">45–46</w:t>
            </w:r>
          </w:p>
        </w:tc>
        <w:tc>
          <w:tcPr/>
          <w:p>
            <w:pPr>
              <w:pStyle w:val="Compact"/>
            </w:pPr>
            <w:r>
              <w:t xml:space="preserve">The unfaithful servant: beats others, eats and drinks; master comes on unexpected day; will be cut in pieces, placed with the unfaithful</w:t>
            </w:r>
          </w:p>
        </w:tc>
        <w:tc>
          <w:tcPr/>
          <w:p>
            <w:pPr>
              <w:pStyle w:val="Compact"/>
            </w:pPr>
            <w:r>
              <w:t xml:space="preserve">The severity of this judgment warns primarily against leadership that exploits its position while awaiting the master’s return</w:t>
            </w:r>
          </w:p>
        </w:tc>
      </w:tr>
      <w:tr>
        <w:tc>
          <w:tcPr/>
          <w:p>
            <w:pPr>
              <w:pStyle w:val="Compact"/>
            </w:pPr>
            <w:r>
              <w:t xml:space="preserve">47–48</w:t>
            </w:r>
          </w:p>
        </w:tc>
        <w:tc>
          <w:tcPr/>
          <w:p>
            <w:pPr>
              <w:pStyle w:val="Compact"/>
            </w:pPr>
            <w:r>
              <w:t xml:space="preserve">Graduated judgment: one who knew and did not prepare faces many blows; one who did not know faces fewer; much given = much required</w:t>
            </w:r>
          </w:p>
        </w:tc>
        <w:tc>
          <w:tcPr/>
          <w:p>
            <w:pPr>
              <w:pStyle w:val="Compact"/>
            </w:pPr>
            <w:r>
              <w:t xml:space="preserve">This is not a salvation-threat text — it is a stewardship-responsibility text, specifically addressed to those entrusted with much</w:t>
            </w:r>
          </w:p>
        </w:tc>
      </w:tr>
      <w:tr>
        <w:tc>
          <w:tcPr/>
          <w:p>
            <w:pPr>
              <w:pStyle w:val="Compact"/>
            </w:pPr>
            <w:r>
              <w:t xml:space="preserve">49–50</w:t>
            </w:r>
          </w:p>
        </w:tc>
        <w:tc>
          <w:tcPr/>
          <w:p>
            <w:pPr>
              <w:pStyle w:val="Compact"/>
            </w:pPr>
            <w:r>
              <w:t xml:space="preserve">“I came to cast fire on the earth… I have a baptism to be baptized with, and how great is my distress until it is accomplished!”</w:t>
            </w:r>
          </w:p>
        </w:tc>
        <w:tc>
          <w:tcPr/>
          <w:p>
            <w:pPr>
              <w:pStyle w:val="Compact"/>
            </w:pPr>
            <w:r>
              <w:t xml:space="preserve">Jesus’s personal anguish is visible here — the cross is pressing on Him; this is not detached teaching but urgent testimony</w:t>
            </w:r>
          </w:p>
        </w:tc>
      </w:tr>
      <w:tr>
        <w:tc>
          <w:tcPr/>
          <w:p>
            <w:pPr>
              <w:pStyle w:val="Compact"/>
            </w:pPr>
            <w:r>
              <w:t xml:space="preserve">51–53</w:t>
            </w:r>
          </w:p>
        </w:tc>
        <w:tc>
          <w:tcPr/>
          <w:p>
            <w:pPr>
              <w:pStyle w:val="Compact"/>
            </w:pPr>
            <w:r>
              <w:t xml:space="preserve">“Do you think I have come to give peace? No, division.”</w:t>
            </w:r>
            <w:r>
              <w:t xml:space="preserve"> </w:t>
            </w:r>
            <w:r>
              <w:t xml:space="preserve">Father against son, mother against daughter</w:t>
            </w:r>
          </w:p>
        </w:tc>
        <w:tc>
          <w:tcPr/>
          <w:p>
            <w:pPr>
              <w:pStyle w:val="Compact"/>
            </w:pPr>
            <w:r>
              <w:t xml:space="preserve">The division is not Jesus’s desire but the inevitable consequence of His coming; loyalty to Him reorganizes every other loyalty</w:t>
            </w:r>
          </w:p>
        </w:tc>
      </w:tr>
      <w:tr>
        <w:tc>
          <w:tcPr/>
          <w:p>
            <w:pPr>
              <w:pStyle w:val="Compact"/>
            </w:pPr>
            <w:r>
              <w:t xml:space="preserve">54–56</w:t>
            </w:r>
          </w:p>
        </w:tc>
        <w:tc>
          <w:tcPr/>
          <w:p>
            <w:pPr>
              <w:pStyle w:val="Compact"/>
            </w:pPr>
            <w:r>
              <w:t xml:space="preserve">“When you see a cloud… you say rain is coming; when you see south wind… scorching heat; hypocrites! You know how to interpret sky and earth, but not this present time”</w:t>
            </w:r>
          </w:p>
        </w:tc>
        <w:tc>
          <w:tcPr/>
          <w:p>
            <w:pPr>
              <w:pStyle w:val="Compact"/>
            </w:pPr>
            <w:r>
              <w:t xml:space="preserve">“This present time”</w:t>
            </w:r>
            <w:r>
              <w:t xml:space="preserve"> </w:t>
            </w:r>
            <w:r>
              <w:t xml:space="preserve">is kairos — the hinge-moment of history; the failure to read it is not innocent ignorance but willful blindness</w:t>
            </w:r>
          </w:p>
        </w:tc>
      </w:tr>
      <w:tr>
        <w:tc>
          <w:tcPr/>
          <w:p>
            <w:pPr>
              <w:pStyle w:val="Compact"/>
            </w:pPr>
            <w:r>
              <w:t xml:space="preserve">57–59</w:t>
            </w:r>
          </w:p>
        </w:tc>
        <w:tc>
          <w:tcPr/>
          <w:p>
            <w:pPr>
              <w:pStyle w:val="Compact"/>
            </w:pPr>
            <w:r>
              <w:t xml:space="preserve">Why do you not judge for yourselves what is right? Make peace with your adversary on the way to the magistrate</w:t>
            </w:r>
          </w:p>
        </w:tc>
        <w:tc>
          <w:tcPr/>
          <w:p>
            <w:pPr>
              <w:pStyle w:val="Compact"/>
            </w:pPr>
            <w:r>
              <w:t xml:space="preserve">The closing illustration from legal practice: settle while you can; the time for settlement is now, before judgment arrives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Fear God, Not Men: Hypocrisy Exposed, Fearlessness Granted</w:t>
            </w:r>
          </w:p>
        </w:tc>
      </w:tr>
      <w:tr>
        <w:tc>
          <w:tcPr/>
          <w:p>
            <w:pPr>
              <w:pStyle w:val="Compact"/>
            </w:pPr>
            <w:r>
              <w:t xml:space="preserve">2</w:t>
            </w:r>
          </w:p>
        </w:tc>
        <w:tc>
          <w:tcPr/>
          <w:p>
            <w:pPr>
              <w:pStyle w:val="Compact"/>
            </w:pPr>
            <w:r>
              <w:t xml:space="preserve">13–21</w:t>
            </w:r>
          </w:p>
        </w:tc>
        <w:tc>
          <w:tcPr/>
          <w:p>
            <w:pPr>
              <w:pStyle w:val="Compact"/>
            </w:pPr>
            <w:r>
              <w:t xml:space="preserve">The Fool’s Monologue: Wealth as False Lord</w:t>
            </w:r>
          </w:p>
        </w:tc>
      </w:tr>
      <w:tr>
        <w:tc>
          <w:tcPr/>
          <w:p>
            <w:pPr>
              <w:pStyle w:val="Compact"/>
            </w:pPr>
            <w:r>
              <w:t xml:space="preserve">3</w:t>
            </w:r>
          </w:p>
        </w:tc>
        <w:tc>
          <w:tcPr/>
          <w:p>
            <w:pPr>
              <w:pStyle w:val="Compact"/>
            </w:pPr>
            <w:r>
              <w:t xml:space="preserve">22–34</w:t>
            </w:r>
          </w:p>
        </w:tc>
        <w:tc>
          <w:tcPr/>
          <w:p>
            <w:pPr>
              <w:pStyle w:val="Compact"/>
            </w:pPr>
            <w:r>
              <w:t xml:space="preserve">The Father’s Good Pleasure: Anxiety Displaced by Kingdom Trust</w:t>
            </w:r>
          </w:p>
        </w:tc>
      </w:tr>
      <w:tr>
        <w:tc>
          <w:tcPr/>
          <w:p>
            <w:pPr>
              <w:pStyle w:val="Compact"/>
            </w:pPr>
            <w:r>
              <w:t xml:space="preserve">4</w:t>
            </w:r>
          </w:p>
        </w:tc>
        <w:tc>
          <w:tcPr/>
          <w:p>
            <w:pPr>
              <w:pStyle w:val="Compact"/>
            </w:pPr>
            <w:r>
              <w:t xml:space="preserve">35–48</w:t>
            </w:r>
          </w:p>
        </w:tc>
        <w:tc>
          <w:tcPr/>
          <w:p>
            <w:pPr>
              <w:pStyle w:val="Compact"/>
            </w:pPr>
            <w:r>
              <w:t xml:space="preserve">The Watching Servants: Readiness, Accountability, and the Weight of Leadership</w:t>
            </w:r>
          </w:p>
        </w:tc>
      </w:tr>
      <w:tr>
        <w:tc>
          <w:tcPr/>
          <w:p>
            <w:pPr>
              <w:pStyle w:val="Compact"/>
            </w:pPr>
            <w:r>
              <w:t xml:space="preserve">5</w:t>
            </w:r>
          </w:p>
        </w:tc>
        <w:tc>
          <w:tcPr/>
          <w:p>
            <w:pPr>
              <w:pStyle w:val="Compact"/>
            </w:pPr>
            <w:r>
              <w:t xml:space="preserve">49–59</w:t>
            </w:r>
          </w:p>
        </w:tc>
        <w:tc>
          <w:tcPr/>
          <w:p>
            <w:pPr>
              <w:pStyle w:val="Compact"/>
            </w:pPr>
            <w:r>
              <w:t xml:space="preserve">The Fire, the Division, and the Urgent Hour: Reading the Present Moment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diagnoses and displaces the false lords — wealth, fear, and distraction — that compete with kingdom allegiance.</w:t>
      </w:r>
    </w:p>
    <w:p>
      <w:pPr>
        <w:pStyle w:val="BodyText"/>
      </w:pPr>
      <w:r>
        <w:rPr>
          <w:b/>
          <w:bCs/>
        </w:rPr>
        <w:t xml:space="preserve">Primary Claim:</w:t>
      </w:r>
      <w:r>
        <w:t xml:space="preserve"> </w:t>
      </w:r>
      <w:r>
        <w:t xml:space="preserve">God is confronting His disciples with the specific idols that make kingdom living impossible — the love of money, the fear of man, and the fog of distraction — and calling them into the freedom of a heart fully oriented toward Him. The question this chapter presses home is not</w:t>
      </w:r>
      <w:r>
        <w:t xml:space="preserve"> </w:t>
      </w:r>
      <w:r>
        <w:t xml:space="preserve">“are you a follower of Jesus?”</w:t>
      </w:r>
      <w:r>
        <w:t xml:space="preserve"> </w:t>
      </w:r>
      <w:r>
        <w:t xml:space="preserve">but</w:t>
      </w:r>
      <w:r>
        <w:t xml:space="preserve"> </w:t>
      </w:r>
      <w:r>
        <w:t xml:space="preserve">“what is actually lord of your life right now?”</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wealth as a diagnostic instrument, not a neutral resource.</w:t>
      </w:r>
    </w:p>
    <w:p>
      <w:pPr>
        <w:pStyle w:val="BodyText"/>
      </w:pPr>
      <w:r>
        <w:t xml:space="preserve">The Rich Fool’s error was not that he had a large harvest — it was that his inner monologue had no room for God or for others. His possessions did not merely distract him from God; they</w:t>
      </w:r>
      <w:r>
        <w:t xml:space="preserve"> </w:t>
      </w:r>
      <w:r>
        <w:rPr>
          <w:i/>
          <w:iCs/>
        </w:rPr>
        <w:t xml:space="preserve">revealed</w:t>
      </w:r>
      <w:r>
        <w:t xml:space="preserve"> </w:t>
      </w:r>
      <w:r>
        <w:t xml:space="preserve">that God was not actually there. Luke 12:34 is the diagnostic key Jesus hands every reader:</w:t>
      </w:r>
      <w:r>
        <w:t xml:space="preserve"> </w:t>
      </w:r>
      <w:r>
        <w:t xml:space="preserve">“Where your treasure is, there your heart will be also.”</w:t>
      </w:r>
      <w:r>
        <w:t xml:space="preserve"> </w:t>
      </w:r>
      <w:r>
        <w:t xml:space="preserve">This is not a threat — it is a diagnostic tool. The question Jesus puts to you through this chapter is not</w:t>
      </w:r>
      <w:r>
        <w:t xml:space="preserve"> </w:t>
      </w:r>
      <w:r>
        <w:t xml:space="preserve">“have you given enough?”</w:t>
      </w:r>
      <w:r>
        <w:t xml:space="preserve"> </w:t>
      </w:r>
      <w:r>
        <w:t xml:space="preserve">but</w:t>
      </w:r>
      <w:r>
        <w:t xml:space="preserve"> </w:t>
      </w:r>
      <w:r>
        <w:t xml:space="preserve">“where does your wealth actually point?”</w:t>
      </w:r>
      <w:r>
        <w:t xml:space="preserve"> </w:t>
      </w:r>
      <w:r>
        <w:t xml:space="preserve">A concrete exercise of this application: examine the last three major financial decisions you made and ask honestly what lord they served. The answer will tell you more about your heart’s actual orientation than most introspective exercises can.</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verse 32 land — the Father’s posture toward you is pleasure, not reluctance.</w:t>
      </w:r>
    </w:p>
    <w:p>
      <w:pPr>
        <w:pStyle w:val="BodyText"/>
      </w:pPr>
      <w:r>
        <w:t xml:space="preserve">“Fear not, little flock; it is your Father’s good pleasure to give you the kingdom”</w:t>
      </w:r>
      <w:r>
        <w:t xml:space="preserve"> </w:t>
      </w:r>
      <w:r>
        <w:t xml:space="preserve">(v. 32) is the emotional center of this chapter, and it is almost universally underpreached. Jesus does not say the Father will give the kingdom despite reluctance, or after conditions are met, or to those who have earned it. He says it is the Father’s</w:t>
      </w:r>
      <w:r>
        <w:t xml:space="preserve"> </w:t>
      </w:r>
      <w:r>
        <w:rPr>
          <w:i/>
          <w:iCs/>
        </w:rPr>
        <w:t xml:space="preserve">good pleasure</w:t>
      </w:r>
      <w:r>
        <w:t xml:space="preserve"> </w:t>
      </w:r>
      <w:r>
        <w:t xml:space="preserve">— eudokēsen, the same root used at the baptism and transfiguration when the Father declares His pleasure in the Son. This is not a reluctant God being persuaded to part with His kingdom. This is a Father who</w:t>
      </w:r>
      <w:r>
        <w:t xml:space="preserve"> </w:t>
      </w:r>
      <w:r>
        <w:rPr>
          <w:i/>
          <w:iCs/>
        </w:rPr>
        <w:t xml:space="preserve">delights</w:t>
      </w:r>
      <w:r>
        <w:t xml:space="preserve"> </w:t>
      </w:r>
      <w:r>
        <w:t xml:space="preserve">to give. Most people who struggle with anxiety about material provision are not primarily failing in willpower — they are failing in their functional image of God. They believe, at the operational level, that God is holding back, that they must secure their own future, that trust is a gamble. The Father’s pleasure in giving is the specific truth that breaks this functional belief. Sit with verse 32 until it changes how you feel about your Father.</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Identify and name the specific fear of man governing your public discipleship right now.</w:t>
      </w:r>
    </w:p>
    <w:p>
      <w:pPr>
        <w:pStyle w:val="BodyText"/>
      </w:pPr>
      <w:r>
        <w:t xml:space="preserve">Jesus’s teaching in vv. 4–9 is not generic encouragement to be bold — it is a precise diagnosis and displacement of the fear of man. The disciples to whom this was addressed were facing a specific threat: being hauled before synagogues and rulers (v. 11). The fear Jesus names is concrete, not abstract. For most readers today, the fear is not physical death but social cost — the loss of approval, status, professional relationships, or relational warmth from people whose opinion matters to them. The application is to name the specific person or group before whom you are currently managing your Christian identity, and to bring the logic of vv. 6–7 directly to bear:</w:t>
      </w:r>
      <w:r>
        <w:t xml:space="preserve"> </w:t>
      </w:r>
      <w:r>
        <w:t xml:space="preserve">“Are you not of more value than many sparrows?”</w:t>
      </w:r>
      <w:r>
        <w:t xml:space="preserve"> </w:t>
      </w:r>
      <w:r>
        <w:t xml:space="preserve">The sparrow argument is not a comfort — it is an argument. Make the argument to yourself about your specific fear until it dislodges the specific person whose opinion you are serving.</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Understand that anxiety is not primarily an emotional problem — it is a theological one.</w:t>
      </w:r>
    </w:p>
    <w:p>
      <w:pPr>
        <w:pStyle w:val="BodyText"/>
      </w:pPr>
      <w:r>
        <w:t xml:space="preserve">Verses 22–30 make an argument, not just an appeal. Jesus’s anti-anxiety teaching is structured as a series of logical moves: if God cares for ravens and lilies (which have lesser value), and you have greater value, then God cares for you. The argument does not end with</w:t>
      </w:r>
      <w:r>
        <w:t xml:space="preserve"> </w:t>
      </w:r>
      <w:r>
        <w:t xml:space="preserve">“therefore feel better”</w:t>
      </w:r>
      <w:r>
        <w:t xml:space="preserve"> </w:t>
      </w:r>
      <w:r>
        <w:t xml:space="preserve">— it ends with</w:t>
      </w:r>
      <w:r>
        <w:t xml:space="preserve"> </w:t>
      </w:r>
      <w:r>
        <w:t xml:space="preserve">“therefore seeking food and clothing as your primary orientation is how pagans who don’t know the Father live”</w:t>
      </w:r>
      <w:r>
        <w:t xml:space="preserve"> </w:t>
      </w:r>
      <w:r>
        <w:t xml:space="preserve">(v. 30). Anxiety about material provision is a functional denial of the Father’s knowledge and care. This does not mean anxiety is merely sin to be confessed and moved past — it means anxiety is a</w:t>
      </w:r>
      <w:r>
        <w:t xml:space="preserve"> </w:t>
      </w:r>
      <w:r>
        <w:rPr>
          <w:i/>
          <w:iCs/>
        </w:rPr>
        <w:t xml:space="preserve">diagnostic signal</w:t>
      </w:r>
      <w:r>
        <w:t xml:space="preserve"> </w:t>
      </w:r>
      <w:r>
        <w:t xml:space="preserve">that a specific truth about the Father has not yet landed at the functional level. When anxiety rises about provision, the appropriate response is not self-chastisement but theological inquiry: which specific truth about the Father’s knowledge and care is not yet operative for me right now?</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 Cultivate active readiness as a daily posture, not a crisis response triggered by prophecy-watching.</w:t>
      </w:r>
    </w:p>
    <w:p>
      <w:pPr>
        <w:pStyle w:val="BodyText"/>
      </w:pPr>
      <w:r>
        <w:t xml:space="preserve">The watching-servant metaphor (vv. 35–40) is deliberately set in the rhythms of ordinary domestic life — dressed, lamps burning, waiting. This is not the portrait of someone in an emergency bunker. It is the portrait of someone whose ordinary daily posture is oriented toward the master’s return. The application is not to study more eschatological charts but to ask a daily question:</w:t>
      </w:r>
      <w:r>
        <w:t xml:space="preserve"> </w:t>
      </w:r>
      <w:r>
        <w:t xml:space="preserve">“If the master came today, would He find me doing the work He has given me?”</w:t>
      </w:r>
      <w:r>
        <w:t xml:space="preserve"> </w:t>
      </w:r>
      <w:r>
        <w:t xml:space="preserve">Peter’s question in v. 41 (</w:t>
      </w:r>
      <w:r>
        <w:t xml:space="preserve">“for us or for everyone?”</w:t>
      </w:r>
      <w:r>
        <w:t xml:space="preserve">) and Jesus’s answer in vv. 42–48 make clear that those in positions of leadership and stewardship carry particular weight here — they will give account not only for their own readiness but for how they have managed what was entrusted to them. For teachers, parents, elders, and anyone entrusted with the care of others, the faithful manager (v. 42) is not a comfort passage — it is a commission passage. Be found doing what you were given to do.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12 is among Scripture’s most comprehensive portraits of what competes with God for functional lordship in human hearts — and therefore among its most important passages for understanding the nature of idolatry as Jesus himself diagnosed it. The chapter teaches that idols are not primitive objects carved from wood but are the internal orientations of the heart toward money, security, reputation, and comfort that quietly occupy the place God alone is to hold. Jesus’s teaching on the fear of man (vv. 4–9) reveals that God’s authority and God’s care are the only two things capable of displacing human fear — authority that removes the power of earthly threats and care that removes the logic of earthly anxiety. The parable of the Rich Fool (vv. 13–21) reveals that wealth does not need to be worshiped to be an idol — it merely needs to become the primary reference point for one’s security and future. And verse 32 —</w:t>
      </w:r>
      <w:r>
        <w:t xml:space="preserve"> </w:t>
      </w:r>
      <w:r>
        <w:t xml:space="preserve">“It is your Father’s good pleasure to give you the kingdom”</w:t>
      </w:r>
      <w:r>
        <w:t xml:space="preserve"> </w:t>
      </w:r>
      <w:r>
        <w:t xml:space="preserve">— establishes the Trinitarian affective ground of the entire chapter: the Father is not a reluctant benefactor but a delighted giver, and knowing this is the specific theological fuel that makes genuine fearlessness and non-anxious kingdom seeking possible.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12 is a sustained demonstration of the Reformed insight that the human heart is an idol factory — not as abstract theological principle but as lived reality in the disciples who are closest to Jesus. The chapter’s structure reflects a Reformed understanding of the ordo of sanctification: before Jesus commands kingdom-seeking (v. 31), He attacks the competing securities that make kingdom-seeking impossible. This is the pattern of grace-before-command that governs Reformed soteriology: the indicative of the Father’s good pleasure (v. 32) precedes and grounds the imperatives of non-anxiety and treasure-redistribution (vv. 33–34). The graduated judgment of vv. 47–48 reflects the Reformed doctrine of particular accountability — not a threat to the security of the elect but a solemn call to those given much (particularly the covenant community’s teachers and leaders) to govern their stewardship accordingly. The chapter’s division-saying (vv. 49–53) reflects the Reformed insistence that the gospel is not a social improvement program — it is a fire that reorganizes all loyalties around Christ, with the cross at the center. And the call to read</w:t>
      </w:r>
      <w:r>
        <w:t xml:space="preserve"> </w:t>
      </w:r>
      <w:r>
        <w:t xml:space="preserve">“this present time”</w:t>
      </w:r>
      <w:r>
        <w:t xml:space="preserve"> </w:t>
      </w:r>
      <w:r>
        <w:t xml:space="preserve">(v. 56) reflects the Reformed emphasis on the decisive, unrepeatable nature of the kairos moment — the moment of the incarnation in which we now live as its heirs is not one religious option among many but the hinge of history, requiring total reorientation.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question Jesus is asking in Luke 12 is not</w:t>
      </w:r>
      <w:r>
        <w:t xml:space="preserve"> </w:t>
      </w:r>
      <w:r>
        <w:t xml:space="preserve">“are you a follower?”</w:t>
      </w:r>
      <w:r>
        <w:t xml:space="preserve"> </w:t>
      </w:r>
      <w:r>
        <w:t xml:space="preserve">— it is</w:t>
      </w:r>
      <w:r>
        <w:t xml:space="preserve"> </w:t>
      </w:r>
      <w:r>
        <w:t xml:space="preserve">“what is actually running your life?”</w:t>
      </w:r>
      <w:r>
        <w:t xml:space="preserve"> </w:t>
      </w:r>
      <w:r>
        <w:t xml:space="preserve">Wealth, fear, and distraction are not neutral pressures; they are lords that occupy the throne of the heart and make kingdom living functionally impossible. But the Father’s posture toward you is not reluctance — it is pleasure. It is His good pleasure to give you the kingdom. A heart that has actually received that news cannot be mastered by barns, paralyzed by human opinion, or fogged by distraction. The chapter closes with an urgent question about reading the present moment — and the present moment, for every reader, is the same as it was for those disciples: the kingdom has come, the master will return, and you are being asked right now to decide what lord you are actually serving.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topical anthology rather than a unified diagnostic.</w:t>
      </w:r>
      <w:r>
        <w:t xml:space="preserve"> </w:t>
      </w:r>
      <w:r>
        <w:t xml:space="preserve">The most common homiletical error with Luke 12 is to preach it as a series of loosely connected teachings —</w:t>
      </w:r>
      <w:r>
        <w:t xml:space="preserve"> </w:t>
      </w:r>
      <w:r>
        <w:t xml:space="preserve">“a sermon on fear, then a sermon on money, then a sermon on readiness.”</w:t>
      </w:r>
      <w:r>
        <w:t xml:space="preserve"> </w:t>
      </w:r>
      <w:r>
        <w:t xml:space="preserve">The chapter’s unity is not topical but diagnostic: every unit addresses a different manifestation of the divided heart. Preachers who miss this unity will produce a series of correct but disconnected applications that never achieve the chapter’s cumulative surgical force. The preacher’s task is to show the thread — that wealth, fear, and distraction are all expressions of the same fundamental condition: a heart that has not yet settled the question of who its lord actually is.</w:t>
      </w:r>
    </w:p>
    <w:p>
      <w:pPr>
        <w:numPr>
          <w:ilvl w:val="0"/>
          <w:numId w:val="1002"/>
        </w:numPr>
      </w:pPr>
      <w:r>
        <w:rPr>
          <w:b/>
          <w:bCs/>
        </w:rPr>
        <w:t xml:space="preserve">Domesticating the Rich Fool parable into a sermon on financial planning.</w:t>
      </w:r>
      <w:r>
        <w:t xml:space="preserve"> </w:t>
      </w:r>
      <w:r>
        <w:t xml:space="preserve">The parable is routinely preached as financial wisdom —</w:t>
      </w:r>
      <w:r>
        <w:t xml:space="preserve"> </w:t>
      </w:r>
      <w:r>
        <w:t xml:space="preserve">“don’t hoard, be generous, avoid materialism.”</w:t>
      </w:r>
      <w:r>
        <w:t xml:space="preserve"> </w:t>
      </w:r>
      <w:r>
        <w:t xml:space="preserve">These applications are not wrong, but they are insufficient. The parable is fundamentally a parable about</w:t>
      </w:r>
      <w:r>
        <w:t xml:space="preserve"> </w:t>
      </w:r>
      <w:r>
        <w:rPr>
          <w:i/>
          <w:iCs/>
        </w:rPr>
        <w:t xml:space="preserve">reference points</w:t>
      </w:r>
      <w:r>
        <w:t xml:space="preserve">, not</w:t>
      </w:r>
      <w:r>
        <w:t xml:space="preserve"> </w:t>
      </w:r>
      <w:r>
        <w:rPr>
          <w:i/>
          <w:iCs/>
        </w:rPr>
        <w:t xml:space="preserve">amounts</w:t>
      </w:r>
      <w:r>
        <w:t xml:space="preserve">. The fool’s error is that God was absent from his entire decision-making framework. The sermon question this parable generates is not</w:t>
      </w:r>
      <w:r>
        <w:t xml:space="preserve"> </w:t>
      </w:r>
      <w:r>
        <w:t xml:space="preserve">“how much are you keeping?”</w:t>
      </w:r>
      <w:r>
        <w:t xml:space="preserve"> </w:t>
      </w:r>
      <w:r>
        <w:t xml:space="preserve">but</w:t>
      </w:r>
      <w:r>
        <w:t xml:space="preserve"> </w:t>
      </w:r>
      <w:r>
        <w:t xml:space="preserve">“is God present in your financial reasoning at all, or are your calculations entirely self-referential?”</w:t>
      </w:r>
      <w:r>
        <w:t xml:space="preserve"> </w:t>
      </w:r>
      <w:r>
        <w:t xml:space="preserve">Reducing this parable to financial advice misses its theological depth.</w:t>
      </w:r>
    </w:p>
    <w:p>
      <w:pPr>
        <w:numPr>
          <w:ilvl w:val="0"/>
          <w:numId w:val="1002"/>
        </w:numPr>
      </w:pPr>
      <w:r>
        <w:rPr>
          <w:b/>
          <w:bCs/>
        </w:rPr>
        <w:t xml:space="preserve">Underpreaching verse 32.</w:t>
      </w:r>
      <w:r>
        <w:t xml:space="preserve"> </w:t>
      </w:r>
      <w:r>
        <w:t xml:space="preserve">“It is your Father’s good pleasure to give you the kingdom”</w:t>
      </w:r>
      <w:r>
        <w:t xml:space="preserve"> </w:t>
      </w:r>
      <w:r>
        <w:t xml:space="preserve">is the affective center of the chapter’s anxiety-section and one of the most important characterizations of the Father in the entire Gospel. It is regularly skipped over in the rush to the more familiar verses 33–34. Preaching the anxiety passage without dwelling on verse 32 produces either moralistic striving (</w:t>
      </w:r>
      <w:r>
        <w:t xml:space="preserve">“try harder to trust”</w:t>
      </w:r>
      <w:r>
        <w:t xml:space="preserve">) or vague comfort (</w:t>
      </w:r>
      <w:r>
        <w:t xml:space="preserve">“God will take care of you”</w:t>
      </w:r>
      <w:r>
        <w:t xml:space="preserve">) without the specific Trinitarian affection that grounds the entire instruction. The Father’s pleasure is not a background assumption — it is the engine.</w:t>
      </w:r>
    </w:p>
    <w:p>
      <w:pPr>
        <w:numPr>
          <w:ilvl w:val="0"/>
          <w:numId w:val="1002"/>
        </w:numPr>
      </w:pPr>
      <w:r>
        <w:rPr>
          <w:b/>
          <w:bCs/>
        </w:rPr>
        <w:t xml:space="preserve">Weaponizing the watchful-servant warnings against assurance.</w:t>
      </w:r>
      <w:r>
        <w:t xml:space="preserve"> </w:t>
      </w:r>
      <w:r>
        <w:t xml:space="preserve">The severity of vv. 45–48 is real and must not be softened. But it is routinely detached from its context (Peter’s question in v. 41 narrows the address to those in positions of stewardship and leadership) and used to undermine the assurance of ordinary believers. The passage is addressed to those entrusted with much — teachers, leaders, those given significant spiritual responsibility. Preached without this context, it creates fearful uncertainty about salvation rather than the sober accountability about stewardship that Jesus intends. The warning is not</w:t>
      </w:r>
      <w:r>
        <w:t xml:space="preserve"> </w:t>
      </w:r>
      <w:r>
        <w:t xml:space="preserve">“genuine Christians might not be saved”</w:t>
      </w:r>
      <w:r>
        <w:t xml:space="preserve"> </w:t>
      </w:r>
      <w:r>
        <w:t xml:space="preserve">— it is</w:t>
      </w:r>
      <w:r>
        <w:t xml:space="preserve"> </w:t>
      </w:r>
      <w:r>
        <w:t xml:space="preserve">“professing leaders who exploit their position while the master is away will face the most severe judgment.”</w:t>
      </w:r>
    </w:p>
    <w:p>
      <w:pPr>
        <w:numPr>
          <w:ilvl w:val="0"/>
          <w:numId w:val="1002"/>
        </w:numPr>
      </w:pPr>
      <w:r>
        <w:rPr>
          <w:b/>
          <w:bCs/>
        </w:rPr>
        <w:t xml:space="preserve">Treating the division-saying (vv. 49–53) as embarrassing and requiring apologetic management.</w:t>
      </w:r>
      <w:r>
        <w:t xml:space="preserve"> </w:t>
      </w:r>
      <w:r>
        <w:t xml:space="preserve">Many preachers treat this passage as a problem to be explained rather than a claim to be preached.</w:t>
      </w:r>
      <w:r>
        <w:t xml:space="preserve"> </w:t>
      </w:r>
      <w:r>
        <w:t xml:space="preserve">“Jesus didn’t really mean He wants to divide families…”</w:t>
      </w:r>
      <w:r>
        <w:t xml:space="preserve"> </w:t>
      </w:r>
      <w:r>
        <w:t xml:space="preserve">is the characteristic move. But Jesus’s point is not embarrassing — it is clarifying. He is telling His disciples not to be surprised when their allegiance to Him creates conflict in their households, and not to soften that allegiance in order to manage the conflict. The division is not Jesus’s goal — it is the inevitable consequence of absolute loyalty to Him in a world of competing loyalties. Preach it as Jesus intended it: a preparation for the cost of discipleship, not an apologetic awkwardness.</w:t>
      </w:r>
    </w:p>
    <w:p>
      <w:pPr>
        <w:numPr>
          <w:ilvl w:val="0"/>
          <w:numId w:val="1002"/>
        </w:numPr>
      </w:pPr>
      <w:r>
        <w:rPr>
          <w:b/>
          <w:bCs/>
        </w:rPr>
        <w:t xml:space="preserve">Misreading</w:t>
      </w:r>
      <w:r>
        <w:rPr>
          <w:b/>
          <w:bCs/>
        </w:rPr>
        <w:t xml:space="preserve"> </w:t>
      </w:r>
      <w:r>
        <w:rPr>
          <w:b/>
          <w:bCs/>
        </w:rPr>
        <w:t xml:space="preserve">“this present time”</w:t>
      </w:r>
      <w:r>
        <w:rPr>
          <w:b/>
          <w:bCs/>
        </w:rPr>
        <w:t xml:space="preserve"> </w:t>
      </w:r>
      <w:r>
        <w:rPr>
          <w:b/>
          <w:bCs/>
        </w:rPr>
        <w:t xml:space="preserve">(v. 56) as merely a rebuke of first-century Pharisees.</w:t>
      </w:r>
      <w:r>
        <w:t xml:space="preserve"> </w:t>
      </w:r>
      <w:r>
        <w:t xml:space="preserve">The capacity to read weather signs but not the kairos moment is presented by Jesus as a form of culpable blindness — not innocent ignorance but willful failure to attend to what is obvious. This rebuke has direct application to any congregation that reads cultural, political, and economic signs with great sophistication but has not reckoned seriously with the decisive nature of the moment they live in as heirs of the inaugurated kingdom. The passage is not historical commentary — it is a present challenge to the same pattern of misplaced attentiveness.</w:t>
      </w:r>
    </w:p>
    <w:p>
      <w:r>
        <w:pict>
          <v:rect style="width:0;height:1.5pt" o:hralign="center" o:hrstd="t" o:hr="t"/>
        </w:pict>
      </w:r>
    </w:p>
    <w:p>
      <w:pPr>
        <w:pStyle w:val="FirstParagraph"/>
      </w:pPr>
      <w:r>
        <w:rPr>
          <w:i/>
          <w:iCs/>
        </w:rPr>
        <w:t xml:space="preserve">File: 42 Luke 12.docx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2026-07-14T21:07:24Z</dcterms:created>
  <dcterms:modified xsi:type="dcterms:W3CDTF">2026-07-14T21:07:24Z</dcterms:modified>
</cp:coreProperties>
</file>

<file path=docProps/custom.xml><?xml version="1.0" encoding="utf-8"?>
<Properties xmlns="http://schemas.openxmlformats.org/officeDocument/2006/custom-properties" xmlns:vt="http://schemas.openxmlformats.org/officeDocument/2006/docPropsVTypes"/>
</file>